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97D" w:rsidRDefault="00EF6EDE">
      <w:pPr>
        <w:rPr>
          <w:i/>
          <w:iCs/>
        </w:rPr>
      </w:pPr>
      <w:r>
        <w:rPr>
          <w:i/>
          <w:iCs/>
        </w:rPr>
        <w:t xml:space="preserve">Name </w:t>
      </w:r>
    </w:p>
    <w:p w:rsidR="0006297D" w:rsidRDefault="00EF6EDE">
      <w:pPr>
        <w:rPr>
          <w:i/>
          <w:iCs/>
        </w:rPr>
      </w:pPr>
      <w:r>
        <w:rPr>
          <w:i/>
          <w:iCs/>
        </w:rPr>
        <w:t xml:space="preserve">Affiliation </w:t>
      </w:r>
    </w:p>
    <w:p w:rsidR="0006297D" w:rsidRDefault="00EF6EDE">
      <w:pPr>
        <w:rPr>
          <w:i/>
          <w:iCs/>
        </w:rPr>
      </w:pPr>
      <w:r>
        <w:rPr>
          <w:i/>
          <w:iCs/>
        </w:rPr>
        <w:t xml:space="preserve">ORCID </w:t>
      </w:r>
    </w:p>
    <w:p w:rsidR="0006297D" w:rsidRDefault="0006297D">
      <w:pPr>
        <w:spacing w:line="480" w:lineRule="auto"/>
        <w:rPr>
          <w:b/>
          <w:bCs/>
        </w:rPr>
      </w:pPr>
    </w:p>
    <w:p w:rsidR="0006297D" w:rsidRDefault="00EF6EDE">
      <w:pPr>
        <w:spacing w:after="240" w:line="480" w:lineRule="auto"/>
        <w:ind w:left="284"/>
        <w:jc w:val="both"/>
        <w:rPr>
          <w:b/>
          <w:bCs/>
          <w:sz w:val="28"/>
          <w:szCs w:val="28"/>
        </w:rPr>
      </w:pPr>
      <w:r>
        <w:rPr>
          <w:b/>
          <w:bCs/>
          <w:sz w:val="28"/>
          <w:szCs w:val="28"/>
        </w:rPr>
        <w:t>A Title of an Article Submitted to Explorations: A Journal of Language and Literature</w:t>
      </w:r>
    </w:p>
    <w:p w:rsidR="0006297D" w:rsidRDefault="00EF6EDE">
      <w:pPr>
        <w:pStyle w:val="Nagwek1"/>
        <w:tabs>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284"/>
          <w:tab w:val="left" w:pos="8564"/>
        </w:tabs>
        <w:spacing w:before="0" w:after="0" w:line="240" w:lineRule="auto"/>
        <w:ind w:left="284" w:hanging="284"/>
        <w:jc w:val="both"/>
        <w:rPr>
          <w:b w:val="0"/>
          <w:bCs w:val="0"/>
        </w:rPr>
      </w:pPr>
      <w:r>
        <w:tab/>
        <w:t>Abstract.</w:t>
      </w:r>
      <w:r>
        <w:rPr>
          <w:b w:val="0"/>
          <w:bCs w:val="0"/>
        </w:rPr>
        <w:t xml:space="preserve"> A short abstract (summary) of your contribution should be inserted here. Use short, direct sentences. It should be as concise as possible. It should be complete, self-explanatory and should not require reference to the paper itself. The abstract should be</w:t>
      </w:r>
      <w:r>
        <w:rPr>
          <w:b w:val="0"/>
          <w:bCs w:val="0"/>
        </w:rPr>
        <w:t xml:space="preserve"> i</w:t>
      </w:r>
      <w:r>
        <w:rPr>
          <w:b w:val="0"/>
          <w:bCs w:val="0"/>
        </w:rPr>
        <w:t>n</w:t>
      </w:r>
      <w:r>
        <w:rPr>
          <w:b w:val="0"/>
          <w:bCs w:val="0"/>
        </w:rPr>
        <w:t>formative, giving the scope and emphasizing the main conclusions, results, or significance of the work described. It should be between 100-150 words.</w:t>
      </w:r>
    </w:p>
    <w:p w:rsidR="0006297D" w:rsidRDefault="0006297D"/>
    <w:p w:rsidR="0006297D" w:rsidRDefault="00EF6EDE">
      <w:pPr>
        <w:ind w:left="284"/>
        <w:jc w:val="both"/>
      </w:pPr>
      <w:r>
        <w:rPr>
          <w:b/>
          <w:bCs/>
        </w:rPr>
        <w:t>Key words.</w:t>
      </w:r>
      <w:r>
        <w:t xml:space="preserve"> Articles should be accompanied with up to six words referring to key concepts discussed in </w:t>
      </w:r>
      <w:r>
        <w:t>the paper.</w:t>
      </w:r>
    </w:p>
    <w:p w:rsidR="0006297D" w:rsidRDefault="0006297D">
      <w:pPr>
        <w:spacing w:before="240" w:line="480" w:lineRule="auto"/>
        <w:ind w:left="284"/>
        <w:jc w:val="both"/>
        <w:rPr>
          <w:b/>
          <w:bCs/>
          <w:smallCaps/>
        </w:rPr>
      </w:pPr>
    </w:p>
    <w:p w:rsidR="0006297D" w:rsidRDefault="00EF6EDE">
      <w:pPr>
        <w:spacing w:line="480" w:lineRule="auto"/>
        <w:jc w:val="both"/>
        <w:rPr>
          <w:b/>
          <w:bCs/>
          <w:smallCaps/>
        </w:rPr>
      </w:pPr>
      <w:r>
        <w:rPr>
          <w:b/>
          <w:bCs/>
          <w:smallCaps/>
        </w:rPr>
        <w:t xml:space="preserve">1. </w:t>
      </w:r>
      <w:r>
        <w:rPr>
          <w:b/>
          <w:bCs/>
        </w:rPr>
        <w:t>Introduction</w:t>
      </w:r>
    </w:p>
    <w:p w:rsidR="0006297D" w:rsidRDefault="00EF6EDE">
      <w:pPr>
        <w:spacing w:line="480" w:lineRule="auto"/>
        <w:jc w:val="both"/>
      </w:pPr>
      <w:r>
        <w:t xml:space="preserve">Joshua Weinstein (2009) in a paper on . . . [commonest version]. Later, Weinstein (2009, 440) adds that . . .  [upon first mention in the text, use an author’s full name; thereafter, use the last name only]. </w:t>
      </w:r>
    </w:p>
    <w:p w:rsidR="0006297D" w:rsidRDefault="00EF6EDE">
      <w:pPr>
        <w:spacing w:line="480" w:lineRule="auto"/>
        <w:ind w:left="284"/>
        <w:jc w:val="both"/>
        <w:rPr>
          <w:sz w:val="20"/>
          <w:szCs w:val="20"/>
        </w:rPr>
      </w:pPr>
      <w:r>
        <w:rPr>
          <w:sz w:val="20"/>
          <w:szCs w:val="20"/>
        </w:rPr>
        <w:t xml:space="preserve">Long citation long </w:t>
      </w:r>
      <w:r>
        <w:rPr>
          <w:sz w:val="20"/>
          <w:szCs w:val="20"/>
        </w:rPr>
        <w:t>citation long citation long citation long citation long citation long citation long citation long citation long citation long citation long citation long citation long citation long citation long citation long citation long citation long citation long cita</w:t>
      </w:r>
      <w:r>
        <w:rPr>
          <w:sz w:val="20"/>
          <w:szCs w:val="20"/>
        </w:rPr>
        <w:t>tion long citation long citation long citation long citation long citation long citation long citation long citation long citation long citation long citation long citation long citation long citation long citation long citation long citation long citation</w:t>
      </w:r>
      <w:r>
        <w:rPr>
          <w:sz w:val="20"/>
          <w:szCs w:val="20"/>
        </w:rPr>
        <w:t xml:space="preserve"> long citation long citation long citation long citation</w:t>
      </w:r>
    </w:p>
    <w:p w:rsidR="0006297D" w:rsidRDefault="0006297D">
      <w:pPr>
        <w:spacing w:line="480" w:lineRule="auto"/>
        <w:jc w:val="both"/>
      </w:pPr>
    </w:p>
    <w:p w:rsidR="0006297D" w:rsidRDefault="00EF6EDE">
      <w:pPr>
        <w:spacing w:line="480" w:lineRule="auto"/>
        <w:jc w:val="both"/>
        <w:rPr>
          <w:b/>
          <w:bCs/>
        </w:rPr>
      </w:pPr>
      <w:r>
        <w:rPr>
          <w:b/>
          <w:bCs/>
        </w:rPr>
        <w:t>2. Section title</w:t>
      </w:r>
    </w:p>
    <w:p w:rsidR="0006297D" w:rsidRDefault="00EF6EDE">
      <w:pPr>
        <w:spacing w:line="480" w:lineRule="auto"/>
        <w:jc w:val="both"/>
      </w:pPr>
      <w:r>
        <w:t>Mendelsohn (2010, 68) states that ... [where page number is required]. Kossinets and Watts (2009, 411) also claim that . . . . Evidence is given by Barnes et al. (2010) . . . [for t</w:t>
      </w:r>
      <w:r>
        <w:t xml:space="preserve">hree or more authors]. </w:t>
      </w:r>
    </w:p>
    <w:p w:rsidR="0006297D" w:rsidRDefault="00EF6EDE">
      <w:pPr>
        <w:spacing w:line="480" w:lineRule="auto"/>
        <w:ind w:firstLine="284"/>
        <w:jc w:val="both"/>
      </w:pPr>
      <w:r>
        <w:lastRenderedPageBreak/>
        <w:t xml:space="preserve">Further </w:t>
      </w:r>
      <w:r>
        <w:rPr>
          <w:lang w:val="fr-FR"/>
        </w:rPr>
        <w:t>exploration</w:t>
      </w:r>
      <w:r>
        <w:t xml:space="preserve"> of this aspect may be found in many sources (e.g. Choi 2008; Kamp 2006, Stolberg and Pear 2010) [note alphabetical order, use of ‘and’ and semi-colons]. </w:t>
      </w:r>
    </w:p>
    <w:p w:rsidR="0006297D" w:rsidRDefault="00EF6EDE">
      <w:pPr>
        <w:spacing w:line="480" w:lineRule="auto"/>
        <w:ind w:firstLine="284"/>
        <w:jc w:val="both"/>
      </w:pPr>
      <w:r>
        <w:t xml:space="preserve">According to Pollan (2006, 99–100), it is essential that </w:t>
      </w:r>
      <w:r>
        <w:t>… . The same study invalidated this hypothesis (</w:t>
      </w:r>
      <w:r>
        <w:rPr>
          <w:lang w:val="de-DE"/>
        </w:rPr>
        <w:t>Ward</w:t>
      </w:r>
      <w:r>
        <w:t xml:space="preserve"> and Burns 2007, 52). In a preface written by Rieger (1982, xx-xxii), one may read that . . . ; the research material used in this study is Austen (2007). This information is also available online (Google</w:t>
      </w:r>
      <w:r>
        <w:t xml:space="preserve"> 2009; McDonalds 2008). </w:t>
      </w:r>
    </w:p>
    <w:p w:rsidR="0006297D" w:rsidRDefault="00EF6EDE">
      <w:pPr>
        <w:spacing w:line="480" w:lineRule="auto"/>
        <w:ind w:firstLine="284"/>
        <w:jc w:val="both"/>
      </w:pPr>
      <w:r>
        <w:t>In a text message to the author on March 1, 2010, John Doe revealed that . . . Descriptive statistics (</w:t>
      </w:r>
      <w:r>
        <w:rPr>
          <w:lang w:val="fr-FR"/>
        </w:rPr>
        <w:t>Table</w:t>
      </w:r>
      <w:r>
        <w:t xml:space="preserve"> 1) describe linguistic data in quantitative terms.</w:t>
      </w:r>
    </w:p>
    <w:p w:rsidR="0006297D" w:rsidRDefault="0006297D">
      <w:pPr>
        <w:spacing w:line="480" w:lineRule="auto"/>
        <w:jc w:val="both"/>
      </w:pPr>
    </w:p>
    <w:tbl>
      <w:tblPr>
        <w:tblStyle w:val="TableNormal"/>
        <w:tblW w:w="918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tblPr>
      <w:tblGrid>
        <w:gridCol w:w="5778"/>
        <w:gridCol w:w="1701"/>
        <w:gridCol w:w="1701"/>
      </w:tblGrid>
      <w:tr w:rsidR="0006297D">
        <w:tblPrEx>
          <w:tblCellMar>
            <w:top w:w="0" w:type="dxa"/>
            <w:left w:w="0" w:type="dxa"/>
            <w:bottom w:w="0" w:type="dxa"/>
            <w:right w:w="0" w:type="dxa"/>
          </w:tblCellMar>
        </w:tblPrEx>
        <w:trPr>
          <w:trHeight w:val="310"/>
        </w:trPr>
        <w:tc>
          <w:tcPr>
            <w:tcW w:w="57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6297D" w:rsidRDefault="00EF6EDE">
            <w:pPr>
              <w:ind w:firstLine="238"/>
              <w:jc w:val="center"/>
            </w:pPr>
            <w:r>
              <w:rPr>
                <w:b/>
                <w:bCs/>
              </w:rPr>
              <w:t>Description of data</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6297D" w:rsidRDefault="00EF6EDE">
            <w:pPr>
              <w:ind w:firstLine="238"/>
              <w:jc w:val="center"/>
            </w:pPr>
            <w:r>
              <w:rPr>
                <w:b/>
                <w:bCs/>
              </w:rPr>
              <w:t>Column1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6297D" w:rsidRDefault="00EF6EDE">
            <w:pPr>
              <w:ind w:firstLine="238"/>
              <w:jc w:val="center"/>
            </w:pPr>
            <w:r>
              <w:rPr>
                <w:b/>
                <w:bCs/>
              </w:rPr>
              <w:t>Column2</w:t>
            </w:r>
          </w:p>
        </w:tc>
      </w:tr>
      <w:tr w:rsidR="0006297D">
        <w:tblPrEx>
          <w:tblCellMar>
            <w:top w:w="0" w:type="dxa"/>
            <w:left w:w="0" w:type="dxa"/>
            <w:bottom w:w="0" w:type="dxa"/>
            <w:right w:w="0" w:type="dxa"/>
          </w:tblCellMar>
        </w:tblPrEx>
        <w:trPr>
          <w:trHeight w:val="310"/>
        </w:trPr>
        <w:tc>
          <w:tcPr>
            <w:tcW w:w="57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6297D" w:rsidRDefault="00EF6EDE">
            <w:pPr>
              <w:jc w:val="center"/>
            </w:pPr>
            <w:r>
              <w:t>Number of running words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6297D" w:rsidRDefault="00EF6EDE">
            <w:pPr>
              <w:pStyle w:val="NormalnyWeb"/>
              <w:spacing w:before="0" w:after="0"/>
              <w:jc w:val="center"/>
            </w:pPr>
            <w:r>
              <w:t>289,574</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6297D" w:rsidRDefault="00EF6EDE">
            <w:pPr>
              <w:pStyle w:val="NormalnyWeb"/>
              <w:spacing w:before="0" w:after="0"/>
              <w:jc w:val="center"/>
            </w:pPr>
            <w:r>
              <w:t>252,309</w:t>
            </w:r>
          </w:p>
        </w:tc>
      </w:tr>
      <w:tr w:rsidR="0006297D">
        <w:tblPrEx>
          <w:tblCellMar>
            <w:top w:w="0" w:type="dxa"/>
            <w:left w:w="0" w:type="dxa"/>
            <w:bottom w:w="0" w:type="dxa"/>
            <w:right w:w="0" w:type="dxa"/>
          </w:tblCellMar>
        </w:tblPrEx>
        <w:trPr>
          <w:trHeight w:val="310"/>
        </w:trPr>
        <w:tc>
          <w:tcPr>
            <w:tcW w:w="57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6297D" w:rsidRDefault="00EF6EDE">
            <w:pPr>
              <w:jc w:val="center"/>
            </w:pPr>
            <w:r>
              <w:t>Number of word tokens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6297D" w:rsidRDefault="00EF6EDE">
            <w:pPr>
              <w:pStyle w:val="NormalnyWeb"/>
              <w:spacing w:before="0" w:after="0"/>
              <w:jc w:val="center"/>
            </w:pPr>
            <w:r>
              <w:t>289,332</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6297D" w:rsidRDefault="00EF6EDE">
            <w:pPr>
              <w:pStyle w:val="NormalnyWeb"/>
              <w:spacing w:before="0" w:after="0"/>
              <w:jc w:val="center"/>
            </w:pPr>
            <w:r>
              <w:t>251,500</w:t>
            </w:r>
          </w:p>
        </w:tc>
      </w:tr>
      <w:tr w:rsidR="0006297D">
        <w:tblPrEx>
          <w:tblCellMar>
            <w:top w:w="0" w:type="dxa"/>
            <w:left w:w="0" w:type="dxa"/>
            <w:bottom w:w="0" w:type="dxa"/>
            <w:right w:w="0" w:type="dxa"/>
          </w:tblCellMar>
        </w:tblPrEx>
        <w:trPr>
          <w:trHeight w:val="310"/>
        </w:trPr>
        <w:tc>
          <w:tcPr>
            <w:tcW w:w="57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6297D" w:rsidRDefault="00EF6EDE">
            <w:pPr>
              <w:jc w:val="center"/>
            </w:pPr>
            <w:r>
              <w:t>Number of word types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6297D" w:rsidRDefault="00EF6EDE">
            <w:pPr>
              <w:pStyle w:val="NormalnyWeb"/>
              <w:spacing w:before="0" w:after="0"/>
              <w:jc w:val="center"/>
            </w:pPr>
            <w:r>
              <w:t>19,784</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6297D" w:rsidRDefault="00EF6EDE">
            <w:pPr>
              <w:pStyle w:val="NormalnyWeb"/>
              <w:spacing w:before="0" w:after="0"/>
              <w:jc w:val="center"/>
            </w:pPr>
            <w:r>
              <w:t>16,211</w:t>
            </w:r>
          </w:p>
        </w:tc>
      </w:tr>
    </w:tbl>
    <w:p w:rsidR="0006297D" w:rsidRDefault="0006297D">
      <w:pPr>
        <w:widowControl w:val="0"/>
        <w:ind w:left="108" w:hanging="108"/>
      </w:pPr>
    </w:p>
    <w:p w:rsidR="0006297D" w:rsidRDefault="0006297D">
      <w:pPr>
        <w:widowControl w:val="0"/>
        <w:jc w:val="both"/>
      </w:pPr>
    </w:p>
    <w:p w:rsidR="0006297D" w:rsidRDefault="00EF6EDE">
      <w:pPr>
        <w:spacing w:line="480" w:lineRule="auto"/>
        <w:jc w:val="center"/>
      </w:pPr>
      <w:r>
        <w:t>Table 1. Description of Table 1</w:t>
      </w:r>
    </w:p>
    <w:p w:rsidR="0006297D" w:rsidRDefault="0006297D">
      <w:pPr>
        <w:spacing w:line="480" w:lineRule="auto"/>
        <w:jc w:val="center"/>
      </w:pPr>
    </w:p>
    <w:p w:rsidR="0006297D" w:rsidRDefault="00EF6EDE">
      <w:pPr>
        <w:spacing w:line="480" w:lineRule="auto"/>
        <w:jc w:val="center"/>
      </w:pPr>
      <w:r>
        <w:rPr>
          <w:noProof/>
        </w:rPr>
        <w:drawing>
          <wp:inline distT="0" distB="0" distL="0" distR="0">
            <wp:extent cx="2823099" cy="1379579"/>
            <wp:effectExtent l="0" t="0" r="0" b="0"/>
            <wp:docPr id="1073741825" name="officeArt object" descr="image-filtered.jpeg"/>
            <wp:cNvGraphicFramePr/>
            <a:graphic xmlns:a="http://schemas.openxmlformats.org/drawingml/2006/main">
              <a:graphicData uri="http://schemas.openxmlformats.org/drawingml/2006/picture">
                <pic:pic xmlns:pic="http://schemas.openxmlformats.org/drawingml/2006/picture">
                  <pic:nvPicPr>
                    <pic:cNvPr id="1073741825" name="image-filtered.jpeg" descr="image-filtered.jpeg"/>
                    <pic:cNvPicPr>
                      <a:picLocks noChangeAspect="1"/>
                    </pic:cNvPicPr>
                  </pic:nvPicPr>
                  <pic:blipFill>
                    <a:blip r:embed="rId6" cstate="print">
                      <a:extLst/>
                    </a:blip>
                    <a:stretch>
                      <a:fillRect/>
                    </a:stretch>
                  </pic:blipFill>
                  <pic:spPr>
                    <a:xfrm>
                      <a:off x="0" y="0"/>
                      <a:ext cx="2823099" cy="1379579"/>
                    </a:xfrm>
                    <a:prstGeom prst="rect">
                      <a:avLst/>
                    </a:prstGeom>
                    <a:ln w="12700" cap="flat">
                      <a:noFill/>
                      <a:miter lim="400000"/>
                    </a:ln>
                    <a:effectLst/>
                  </pic:spPr>
                </pic:pic>
              </a:graphicData>
            </a:graphic>
          </wp:inline>
        </w:drawing>
      </w:r>
    </w:p>
    <w:p w:rsidR="0006297D" w:rsidRDefault="00EF6EDE">
      <w:pPr>
        <w:spacing w:line="480" w:lineRule="auto"/>
        <w:jc w:val="center"/>
      </w:pPr>
      <w:r>
        <w:t>Figure 2. Description</w:t>
      </w:r>
    </w:p>
    <w:p w:rsidR="0006297D" w:rsidRDefault="0006297D">
      <w:pPr>
        <w:spacing w:line="480" w:lineRule="auto"/>
        <w:jc w:val="both"/>
      </w:pPr>
    </w:p>
    <w:p w:rsidR="0006297D" w:rsidRDefault="00EF6EDE">
      <w:pPr>
        <w:spacing w:line="480" w:lineRule="auto"/>
        <w:jc w:val="both"/>
        <w:rPr>
          <w:b/>
          <w:bCs/>
        </w:rPr>
      </w:pPr>
      <w:r>
        <w:rPr>
          <w:b/>
          <w:bCs/>
        </w:rPr>
        <w:t xml:space="preserve">3. </w:t>
      </w:r>
      <w:r>
        <w:rPr>
          <w:b/>
          <w:bCs/>
          <w:lang w:val="fr-FR"/>
        </w:rPr>
        <w:t>Conclusions</w:t>
      </w:r>
    </w:p>
    <w:p w:rsidR="0006297D" w:rsidRDefault="00EF6EDE">
      <w:pPr>
        <w:spacing w:line="480" w:lineRule="auto"/>
        <w:jc w:val="both"/>
      </w:pPr>
      <w:r>
        <w:t xml:space="preserve">The study can be extended in the future also by … (John Doe, pers. comm.). </w:t>
      </w:r>
    </w:p>
    <w:p w:rsidR="0006297D" w:rsidRDefault="0006297D">
      <w:pPr>
        <w:spacing w:line="480" w:lineRule="auto"/>
        <w:jc w:val="both"/>
      </w:pPr>
    </w:p>
    <w:p w:rsidR="0006297D" w:rsidRDefault="00EF6EDE">
      <w:pPr>
        <w:spacing w:line="480" w:lineRule="auto"/>
        <w:jc w:val="both"/>
        <w:rPr>
          <w:b/>
          <w:bCs/>
        </w:rPr>
      </w:pPr>
      <w:r>
        <w:rPr>
          <w:b/>
          <w:bCs/>
        </w:rPr>
        <w:lastRenderedPageBreak/>
        <w:t xml:space="preserve">References </w:t>
      </w:r>
      <w:r>
        <w:t xml:space="preserve">[Follow </w:t>
      </w:r>
      <w:r>
        <w:rPr>
          <w:i/>
          <w:iCs/>
        </w:rPr>
        <w:t>Chicago Manual of Style</w:t>
      </w:r>
      <w:r>
        <w:t>, 16</w:t>
      </w:r>
      <w:r>
        <w:rPr>
          <w:vertAlign w:val="superscript"/>
        </w:rPr>
        <w:t>th</w:t>
      </w:r>
      <w:r>
        <w:t xml:space="preserve"> edition (2010)]</w:t>
      </w:r>
    </w:p>
    <w:p w:rsidR="0006297D" w:rsidRDefault="00EF6EDE">
      <w:pPr>
        <w:ind w:left="284" w:hanging="284"/>
        <w:jc w:val="both"/>
      </w:pPr>
      <w:r>
        <w:t xml:space="preserve">Adelman, </w:t>
      </w:r>
      <w:r>
        <w:rPr>
          <w:lang w:val="de-DE"/>
        </w:rPr>
        <w:t>Rachel</w:t>
      </w:r>
      <w:r>
        <w:t>. 2009. “ ‘Such Stuff as Dreams Are Made On’: God’s Footstool in the A</w:t>
      </w:r>
      <w:r>
        <w:t>r</w:t>
      </w:r>
      <w:r>
        <w:t xml:space="preserve">amaic </w:t>
      </w:r>
      <w:r>
        <w:rPr>
          <w:lang w:val="pt-PT"/>
        </w:rPr>
        <w:t>Targumim</w:t>
      </w:r>
      <w:r>
        <w:t xml:space="preserve"> and Midrashic Tradition.” Paper presented at the annual meeting for the Society of Biblical Literature, New O</w:t>
      </w:r>
      <w:r>
        <w:t>rleans, Louisiana, November 21–24.</w:t>
      </w:r>
    </w:p>
    <w:p w:rsidR="0006297D" w:rsidRDefault="00EF6EDE">
      <w:pPr>
        <w:ind w:left="284" w:hanging="284"/>
        <w:jc w:val="both"/>
      </w:pPr>
      <w:r>
        <w:t xml:space="preserve">Austen, Jane. 2007. </w:t>
      </w:r>
      <w:r>
        <w:rPr>
          <w:i/>
          <w:iCs/>
        </w:rPr>
        <w:t>Pride and Prejudice</w:t>
      </w:r>
      <w:r>
        <w:t>. New York: Penguin Classics. Kindle edition.</w:t>
      </w:r>
    </w:p>
    <w:p w:rsidR="0006297D" w:rsidRDefault="00EF6EDE">
      <w:pPr>
        <w:ind w:left="284" w:hanging="284"/>
        <w:jc w:val="both"/>
      </w:pPr>
      <w:r>
        <w:t xml:space="preserve">Choi, Mihwa. 2008. “Contesting </w:t>
      </w:r>
      <w:r>
        <w:rPr>
          <w:i/>
          <w:iCs/>
        </w:rPr>
        <w:t>Imaginaires</w:t>
      </w:r>
      <w:r>
        <w:t xml:space="preserve"> in Death Rituals during the Northern Song Dynasty.” </w:t>
      </w:r>
      <w:r>
        <w:t>PhD</w:t>
      </w:r>
      <w:r>
        <w:t xml:space="preserve"> diss., University of Chicago.</w:t>
      </w:r>
    </w:p>
    <w:p w:rsidR="0006297D" w:rsidRDefault="00EF6EDE">
      <w:pPr>
        <w:ind w:left="284" w:hanging="284"/>
        <w:jc w:val="both"/>
      </w:pPr>
      <w:r>
        <w:t>Choi, M</w:t>
      </w:r>
      <w:r>
        <w:t>ihwa. 2008. “Contesting Imaginaires in Death Rituals during the Northern Song Dy</w:t>
      </w:r>
      <w:r>
        <w:t>n</w:t>
      </w:r>
      <w:r>
        <w:t xml:space="preserve">asty.” </w:t>
      </w:r>
      <w:r>
        <w:t>PhD</w:t>
      </w:r>
      <w:r>
        <w:t xml:space="preserve"> diss., University of Chicago. ProQuest (AAT 3300426).</w:t>
      </w:r>
    </w:p>
    <w:p w:rsidR="0006297D" w:rsidRDefault="00EF6EDE">
      <w:pPr>
        <w:ind w:left="284" w:hanging="284"/>
        <w:jc w:val="both"/>
      </w:pPr>
      <w:r>
        <w:t xml:space="preserve">Cicero, </w:t>
      </w:r>
      <w:r>
        <w:rPr>
          <w:lang w:val="it-IT"/>
        </w:rPr>
        <w:t>Quintus</w:t>
      </w:r>
      <w:r>
        <w:t xml:space="preserve"> Tullius. 1986. “Handbook on Canvassing for the Consulship.” In </w:t>
      </w:r>
      <w:r>
        <w:rPr>
          <w:i/>
          <w:iCs/>
        </w:rPr>
        <w:t xml:space="preserve">Rome: Late Republic </w:t>
      </w:r>
      <w:r>
        <w:rPr>
          <w:i/>
          <w:iCs/>
        </w:rPr>
        <w:t>and</w:t>
      </w:r>
      <w:r>
        <w:rPr>
          <w:i/>
          <w:iCs/>
        </w:rPr>
        <w:t xml:space="preserve"> Princip</w:t>
      </w:r>
      <w:r>
        <w:rPr>
          <w:i/>
          <w:iCs/>
        </w:rPr>
        <w:t>ate</w:t>
      </w:r>
      <w:r>
        <w:t xml:space="preserve">, edited by Walter Emil Kaegi Jr. and Peter White. Vol. 2 of </w:t>
      </w:r>
      <w:r>
        <w:rPr>
          <w:i/>
          <w:iCs/>
        </w:rPr>
        <w:t>Un</w:t>
      </w:r>
      <w:r>
        <w:rPr>
          <w:i/>
          <w:iCs/>
        </w:rPr>
        <w:t>i</w:t>
      </w:r>
      <w:r>
        <w:rPr>
          <w:i/>
          <w:iCs/>
        </w:rPr>
        <w:t>versity of Chicago Readings in Western Civilization</w:t>
      </w:r>
      <w:r>
        <w:t xml:space="preserve">, edited by John Boyer and Julius Kirshner, </w:t>
      </w:r>
      <w:r>
        <w:t>33</w:t>
      </w:r>
      <w:r>
        <w:t>–46. Chicago: University of Chicago Press. Originally published in Evelyn S. Shuckburgh, tra</w:t>
      </w:r>
      <w:r>
        <w:t xml:space="preserve">ns., </w:t>
      </w:r>
      <w:r>
        <w:rPr>
          <w:i/>
          <w:iCs/>
        </w:rPr>
        <w:t>The Letters of Cicero</w:t>
      </w:r>
      <w:r>
        <w:t>, vol. 1 (London: George Bell &amp; Sons, 1908).</w:t>
      </w:r>
    </w:p>
    <w:p w:rsidR="0006297D" w:rsidRDefault="00EF6EDE">
      <w:pPr>
        <w:ind w:left="284" w:hanging="284"/>
        <w:jc w:val="both"/>
      </w:pPr>
      <w:r>
        <w:t xml:space="preserve">García Márquez, Gabriel. 1988. </w:t>
      </w:r>
      <w:r>
        <w:rPr>
          <w:i/>
          <w:iCs/>
        </w:rPr>
        <w:t>Love in the Time of Cholera</w:t>
      </w:r>
      <w:r>
        <w:t>. Translated by Edith Grossman. London: Cape.</w:t>
      </w:r>
    </w:p>
    <w:p w:rsidR="0006297D" w:rsidRDefault="00EF6EDE">
      <w:pPr>
        <w:ind w:left="284" w:hanging="284"/>
        <w:jc w:val="both"/>
      </w:pPr>
      <w:r>
        <w:t>Google. 2009. “Google Privacy Policy.” Last modified March 11. http://www.google.</w:t>
      </w:r>
      <w:r>
        <w:t>com/intl/en/privacypolicy.html.</w:t>
      </w:r>
    </w:p>
    <w:p w:rsidR="0006297D" w:rsidRDefault="00EF6EDE">
      <w:pPr>
        <w:ind w:left="284" w:hanging="284"/>
        <w:jc w:val="both"/>
      </w:pPr>
      <w:r>
        <w:t xml:space="preserve">Kamp, David. 2006. “Deconstructing Dinner.” Review of </w:t>
      </w:r>
      <w:r>
        <w:rPr>
          <w:i/>
          <w:iCs/>
        </w:rPr>
        <w:t>The Omnivore’s Dilemma: A Nat</w:t>
      </w:r>
      <w:r>
        <w:rPr>
          <w:i/>
          <w:iCs/>
        </w:rPr>
        <w:t>u</w:t>
      </w:r>
      <w:r>
        <w:rPr>
          <w:i/>
          <w:iCs/>
        </w:rPr>
        <w:t>ral History of Four Meals</w:t>
      </w:r>
      <w:r>
        <w:t xml:space="preserve">, by Michael Pollan. </w:t>
      </w:r>
      <w:r>
        <w:rPr>
          <w:i/>
          <w:iCs/>
        </w:rPr>
        <w:t>New York Times</w:t>
      </w:r>
      <w:r>
        <w:t>, April 23, Sunday Book Review. http://www.nytimes.com/2006/04/23/books/review/2</w:t>
      </w:r>
      <w:r>
        <w:t>3kamp.html.</w:t>
      </w:r>
    </w:p>
    <w:p w:rsidR="0006297D" w:rsidRDefault="00EF6EDE">
      <w:pPr>
        <w:ind w:left="284" w:hanging="284"/>
        <w:jc w:val="both"/>
      </w:pPr>
      <w:r>
        <w:t xml:space="preserve">Kelly, John D. 2010. “Seeing Red: Mao Fetishism, Pax Americana, and the Moral Economy of War.” In </w:t>
      </w:r>
      <w:r>
        <w:rPr>
          <w:i/>
          <w:iCs/>
        </w:rPr>
        <w:t>Anthropology and Global Counterinsurgency</w:t>
      </w:r>
      <w:r>
        <w:t>, edited by John D. Kelly, B</w:t>
      </w:r>
      <w:r>
        <w:t>e</w:t>
      </w:r>
      <w:r>
        <w:t xml:space="preserve">atrice Jauregui, Sean T. Mitchell, and Jeremy Walton, 67–83. Chicago: </w:t>
      </w:r>
      <w:r>
        <w:t>University of Ch</w:t>
      </w:r>
      <w:r>
        <w:t>i</w:t>
      </w:r>
      <w:r>
        <w:t>cago Press.</w:t>
      </w:r>
    </w:p>
    <w:p w:rsidR="0006297D" w:rsidRDefault="00EF6EDE">
      <w:pPr>
        <w:ind w:left="284" w:hanging="284"/>
        <w:jc w:val="both"/>
      </w:pPr>
      <w:r>
        <w:t xml:space="preserve">Kossinets, Gueorgi, and Duncan J. Watts. 2009. “Origins of Homophily in an Evolving Social Network.” </w:t>
      </w:r>
      <w:r>
        <w:rPr>
          <w:i/>
          <w:iCs/>
        </w:rPr>
        <w:t>American Journal of Sociology</w:t>
      </w:r>
      <w:r>
        <w:t xml:space="preserve"> 115:405–50. Accessed February 28, 2010. doi:10.1086/599247.</w:t>
      </w:r>
    </w:p>
    <w:p w:rsidR="0006297D" w:rsidRDefault="00EF6EDE">
      <w:pPr>
        <w:ind w:left="284" w:hanging="284"/>
        <w:jc w:val="both"/>
      </w:pPr>
      <w:r>
        <w:t>Kurland, Philip B., and Ralph Lerner</w:t>
      </w:r>
      <w:r>
        <w:t xml:space="preserve">, eds. 1987. </w:t>
      </w:r>
      <w:r>
        <w:rPr>
          <w:i/>
          <w:iCs/>
        </w:rPr>
        <w:t>The Founders’ Constitution</w:t>
      </w:r>
      <w:r>
        <w:t>. Chicago: Un</w:t>
      </w:r>
      <w:r>
        <w:t>i</w:t>
      </w:r>
      <w:r>
        <w:t>versity of Chicago Press. http://press-pubs.uchicago.edu/founders/.</w:t>
      </w:r>
    </w:p>
    <w:p w:rsidR="0006297D" w:rsidRDefault="00EF6EDE">
      <w:pPr>
        <w:ind w:left="284" w:hanging="284"/>
        <w:jc w:val="both"/>
      </w:pPr>
      <w:r>
        <w:t xml:space="preserve">Lattimore, Richmond, trans. 1951. </w:t>
      </w:r>
      <w:r>
        <w:rPr>
          <w:i/>
          <w:iCs/>
        </w:rPr>
        <w:t>The Iliad of Homer</w:t>
      </w:r>
      <w:r>
        <w:t>. Chicago: University of Chicago Press.</w:t>
      </w:r>
    </w:p>
    <w:p w:rsidR="0006297D" w:rsidRDefault="00EF6EDE">
      <w:pPr>
        <w:ind w:left="284" w:hanging="284"/>
        <w:jc w:val="both"/>
      </w:pPr>
      <w:r>
        <w:t>McDonald’s Corporation. 2008. “McDonald’s H</w:t>
      </w:r>
      <w:r>
        <w:t>appy Meal Toy Safety Facts.” Accessed July 19. http://www.mcdonalds.com/corp/about/factsheets.html.</w:t>
      </w:r>
    </w:p>
    <w:p w:rsidR="0006297D" w:rsidRDefault="00EF6EDE">
      <w:pPr>
        <w:ind w:left="284" w:hanging="284"/>
        <w:jc w:val="both"/>
      </w:pPr>
      <w:r>
        <w:t xml:space="preserve">Mendelsohn, Daniel. 2010. “But Enough about Me.” </w:t>
      </w:r>
      <w:r>
        <w:rPr>
          <w:i/>
          <w:iCs/>
        </w:rPr>
        <w:t>New Yorker</w:t>
      </w:r>
      <w:r>
        <w:t>, January 25.</w:t>
      </w:r>
    </w:p>
    <w:p w:rsidR="0006297D" w:rsidRDefault="00EF6EDE">
      <w:pPr>
        <w:ind w:left="284" w:hanging="284"/>
        <w:jc w:val="both"/>
      </w:pPr>
      <w:r>
        <w:t xml:space="preserve">Pollan, Michael. 2006. </w:t>
      </w:r>
      <w:r>
        <w:rPr>
          <w:i/>
          <w:iCs/>
        </w:rPr>
        <w:t>The Omnivore’s Dilemma: A Natural History of Four Meals</w:t>
      </w:r>
      <w:r>
        <w:t>. New</w:t>
      </w:r>
      <w:r>
        <w:t xml:space="preserve"> York: Penguin.</w:t>
      </w:r>
    </w:p>
    <w:p w:rsidR="0006297D" w:rsidRDefault="00EF6EDE">
      <w:pPr>
        <w:ind w:left="284" w:hanging="284"/>
        <w:jc w:val="both"/>
      </w:pPr>
      <w:r>
        <w:t xml:space="preserve">Posner, Richard. 2010. “Double Exports in Five Years?” </w:t>
      </w:r>
      <w:r>
        <w:rPr>
          <w:i/>
          <w:iCs/>
        </w:rPr>
        <w:t>The Becker-Posner Blog</w:t>
      </w:r>
      <w:r>
        <w:t>, February 21. http://uchicagolaw.typepad.com/beckerposner/2010/02/double-exports-in-five-years-posner.html.</w:t>
      </w:r>
    </w:p>
    <w:p w:rsidR="0006297D" w:rsidRDefault="00EF6EDE">
      <w:pPr>
        <w:ind w:left="284" w:hanging="284"/>
        <w:jc w:val="both"/>
      </w:pPr>
      <w:r>
        <w:t xml:space="preserve">Rieger, James. 1982. Introduction to </w:t>
      </w:r>
      <w:r>
        <w:rPr>
          <w:i/>
          <w:iCs/>
        </w:rPr>
        <w:t>Frankenstein; or,</w:t>
      </w:r>
      <w:r>
        <w:rPr>
          <w:i/>
          <w:iCs/>
        </w:rPr>
        <w:t xml:space="preserve"> The Modern Prometheus</w:t>
      </w:r>
      <w:r>
        <w:t>, by Mary Wollstonecraft Shelley, xi–xxxvii. Chicago: University of Chicago Press.</w:t>
      </w:r>
    </w:p>
    <w:p w:rsidR="0006297D" w:rsidRDefault="00EF6EDE">
      <w:pPr>
        <w:ind w:left="284" w:hanging="284"/>
        <w:jc w:val="both"/>
      </w:pPr>
      <w:r>
        <w:t xml:space="preserve">Stolberg, Sheryl Gay, and Robert Pear. 2010. “Wary Centrists Posing Challenge in Health Care Vote.” </w:t>
      </w:r>
      <w:r>
        <w:rPr>
          <w:i/>
          <w:iCs/>
        </w:rPr>
        <w:t>New York Times</w:t>
      </w:r>
      <w:r>
        <w:t xml:space="preserve">, February 27. Accessed February 28, </w:t>
      </w:r>
      <w:r>
        <w:t>2010. http://www.nytimes.com/2010/02/28/us/politics/28health.html.</w:t>
      </w:r>
    </w:p>
    <w:p w:rsidR="0006297D" w:rsidRDefault="00EF6EDE">
      <w:pPr>
        <w:ind w:left="284" w:hanging="284"/>
        <w:jc w:val="both"/>
      </w:pPr>
      <w:r>
        <w:t xml:space="preserve">Ward, Geoffrey C., and Ken Burns. 2007. </w:t>
      </w:r>
      <w:r>
        <w:rPr>
          <w:i/>
          <w:iCs/>
        </w:rPr>
        <w:t>The War: An Intimate History</w:t>
      </w:r>
      <w:r>
        <w:t>, 1941–1945. New York: Knopf.</w:t>
      </w:r>
    </w:p>
    <w:p w:rsidR="0006297D" w:rsidRDefault="00EF6EDE">
      <w:pPr>
        <w:ind w:left="284" w:hanging="284"/>
        <w:jc w:val="both"/>
      </w:pPr>
      <w:r>
        <w:t xml:space="preserve">Weinstein, Joshua I. 2009. “The Market in Plato’s </w:t>
      </w:r>
      <w:r>
        <w:rPr>
          <w:i/>
          <w:iCs/>
        </w:rPr>
        <w:t>Republic</w:t>
      </w:r>
      <w:r>
        <w:t xml:space="preserve">.” </w:t>
      </w:r>
      <w:r>
        <w:rPr>
          <w:i/>
          <w:iCs/>
        </w:rPr>
        <w:t>Classical Philology</w:t>
      </w:r>
      <w:r>
        <w:t xml:space="preserve"> 104:439–58</w:t>
      </w:r>
      <w:r>
        <w:t>.</w:t>
      </w:r>
    </w:p>
    <w:p w:rsidR="0006297D" w:rsidRDefault="0006297D">
      <w:pPr>
        <w:ind w:left="284" w:hanging="284"/>
        <w:jc w:val="both"/>
      </w:pPr>
    </w:p>
    <w:p w:rsidR="0006297D" w:rsidRDefault="0006297D">
      <w:pPr>
        <w:ind w:left="284" w:hanging="284"/>
        <w:jc w:val="both"/>
      </w:pPr>
    </w:p>
    <w:p w:rsidR="0006297D" w:rsidRDefault="0006297D">
      <w:pPr>
        <w:spacing w:line="480" w:lineRule="auto"/>
        <w:ind w:left="569" w:hanging="569"/>
        <w:jc w:val="both"/>
        <w:rPr>
          <w:b/>
          <w:bCs/>
        </w:rPr>
      </w:pPr>
    </w:p>
    <w:p w:rsidR="0006297D" w:rsidRDefault="00EF6EDE">
      <w:pPr>
        <w:pStyle w:val="Default"/>
        <w:jc w:val="both"/>
        <w:rPr>
          <w:rFonts w:ascii="Times New Roman" w:eastAsia="Times New Roman" w:hAnsi="Times New Roman" w:cs="Times New Roman"/>
        </w:rPr>
      </w:pPr>
      <w:r>
        <w:rPr>
          <w:rFonts w:ascii="Times New Roman" w:hAnsi="Times New Roman"/>
          <w:b/>
          <w:bCs/>
        </w:rPr>
        <w:t>First Contributor</w:t>
      </w:r>
      <w:r>
        <w:rPr>
          <w:rFonts w:ascii="Times New Roman" w:hAnsi="Times New Roman"/>
          <w:b/>
          <w:bCs/>
        </w:rPr>
        <w:t>’</w:t>
      </w:r>
      <w:r>
        <w:rPr>
          <w:rFonts w:ascii="Times New Roman" w:hAnsi="Times New Roman"/>
          <w:b/>
          <w:bCs/>
        </w:rPr>
        <w:t>s Bio</w:t>
      </w:r>
      <w:r>
        <w:rPr>
          <w:rFonts w:ascii="Times New Roman" w:hAnsi="Times New Roman"/>
        </w:rPr>
        <w:t>: On a separate page of your manuscript, please provide a biograp</w:t>
      </w:r>
      <w:r>
        <w:rPr>
          <w:rFonts w:ascii="Times New Roman" w:hAnsi="Times New Roman"/>
        </w:rPr>
        <w:t>h</w:t>
      </w:r>
      <w:r>
        <w:rPr>
          <w:rFonts w:ascii="Times New Roman" w:hAnsi="Times New Roman"/>
        </w:rPr>
        <w:t>ical note of fewer than 100 words containing your rank, affiliation, specialization, and most significant publications or current research. Include publication da</w:t>
      </w:r>
      <w:r>
        <w:rPr>
          <w:rFonts w:ascii="Times New Roman" w:hAnsi="Times New Roman"/>
        </w:rPr>
        <w:t xml:space="preserve">tes for all books. </w:t>
      </w:r>
    </w:p>
    <w:p w:rsidR="0006297D" w:rsidRDefault="0006297D">
      <w:pPr>
        <w:pStyle w:val="Default"/>
        <w:jc w:val="both"/>
        <w:rPr>
          <w:rFonts w:ascii="Times New Roman" w:eastAsia="Times New Roman" w:hAnsi="Times New Roman" w:cs="Times New Roman"/>
        </w:rPr>
      </w:pPr>
    </w:p>
    <w:p w:rsidR="0006297D" w:rsidRDefault="00EF6EDE">
      <w:pPr>
        <w:spacing w:line="360" w:lineRule="auto"/>
        <w:ind w:left="569" w:hanging="569"/>
        <w:jc w:val="both"/>
      </w:pPr>
      <w:r>
        <w:rPr>
          <w:b/>
          <w:bCs/>
        </w:rPr>
        <w:t xml:space="preserve">E-mail address: </w:t>
      </w:r>
      <w:r>
        <w:t>firstauthor(at)server.com</w:t>
      </w:r>
    </w:p>
    <w:p w:rsidR="0006297D" w:rsidRDefault="0006297D">
      <w:pPr>
        <w:spacing w:line="360" w:lineRule="auto"/>
        <w:ind w:left="566" w:hanging="566"/>
        <w:jc w:val="both"/>
      </w:pPr>
    </w:p>
    <w:p w:rsidR="0006297D" w:rsidRDefault="00EF6EDE">
      <w:pPr>
        <w:pStyle w:val="Default"/>
        <w:jc w:val="both"/>
        <w:rPr>
          <w:rFonts w:ascii="Times New Roman" w:eastAsia="Times New Roman" w:hAnsi="Times New Roman" w:cs="Times New Roman"/>
        </w:rPr>
      </w:pPr>
      <w:r>
        <w:rPr>
          <w:rFonts w:ascii="Times New Roman" w:hAnsi="Times New Roman"/>
          <w:b/>
          <w:bCs/>
        </w:rPr>
        <w:t>Second Contributor</w:t>
      </w:r>
      <w:r>
        <w:rPr>
          <w:rFonts w:ascii="Times New Roman" w:hAnsi="Times New Roman"/>
          <w:b/>
          <w:bCs/>
        </w:rPr>
        <w:t>’</w:t>
      </w:r>
      <w:r>
        <w:rPr>
          <w:rFonts w:ascii="Times New Roman" w:hAnsi="Times New Roman"/>
          <w:b/>
          <w:bCs/>
        </w:rPr>
        <w:t>s Bio</w:t>
      </w:r>
      <w:r>
        <w:rPr>
          <w:rFonts w:ascii="Times New Roman" w:hAnsi="Times New Roman"/>
        </w:rPr>
        <w:t>: On a separate page of your manuscript, please provide a bi</w:t>
      </w:r>
      <w:r>
        <w:rPr>
          <w:rFonts w:ascii="Times New Roman" w:hAnsi="Times New Roman"/>
        </w:rPr>
        <w:t>o</w:t>
      </w:r>
      <w:r>
        <w:rPr>
          <w:rFonts w:ascii="Times New Roman" w:hAnsi="Times New Roman"/>
        </w:rPr>
        <w:t>graphical note of fewer than 100 words containing your rank, affiliation, specialization, and most signific</w:t>
      </w:r>
      <w:r>
        <w:rPr>
          <w:rFonts w:ascii="Times New Roman" w:hAnsi="Times New Roman"/>
        </w:rPr>
        <w:t xml:space="preserve">ant publications or current research. Include publication dates for all books. </w:t>
      </w:r>
    </w:p>
    <w:p w:rsidR="0006297D" w:rsidRDefault="0006297D">
      <w:pPr>
        <w:pStyle w:val="Default"/>
        <w:jc w:val="both"/>
        <w:rPr>
          <w:rFonts w:ascii="Times New Roman" w:eastAsia="Times New Roman" w:hAnsi="Times New Roman" w:cs="Times New Roman"/>
        </w:rPr>
      </w:pPr>
    </w:p>
    <w:p w:rsidR="0006297D" w:rsidRDefault="00EF6EDE">
      <w:pPr>
        <w:spacing w:line="360" w:lineRule="auto"/>
        <w:ind w:left="569" w:hanging="569"/>
        <w:jc w:val="both"/>
      </w:pPr>
      <w:r>
        <w:rPr>
          <w:b/>
          <w:bCs/>
        </w:rPr>
        <w:t xml:space="preserve">E-mail address: </w:t>
      </w:r>
      <w:r>
        <w:t>secondauthor(at)server.com</w:t>
      </w:r>
    </w:p>
    <w:sectPr w:rsidR="0006297D" w:rsidSect="0006297D">
      <w:headerReference w:type="default" r:id="rId7"/>
      <w:footerReference w:type="default" r:id="rId8"/>
      <w:headerReference w:type="first" r:id="rId9"/>
      <w:footerReference w:type="first" r:id="rId10"/>
      <w:pgSz w:w="11900" w:h="16840"/>
      <w:pgMar w:top="1418" w:right="1418" w:bottom="1418" w:left="1418" w:header="851"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EDE" w:rsidRDefault="00EF6EDE" w:rsidP="0006297D">
      <w:r>
        <w:separator/>
      </w:r>
    </w:p>
  </w:endnote>
  <w:endnote w:type="continuationSeparator" w:id="0">
    <w:p w:rsidR="00EF6EDE" w:rsidRDefault="00EF6EDE" w:rsidP="000629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97D" w:rsidRDefault="0006297D">
    <w:pPr>
      <w:pStyle w:val="Stopka"/>
      <w:tabs>
        <w:tab w:val="clear" w:pos="9072"/>
        <w:tab w:val="right" w:pos="9044"/>
      </w:tabs>
      <w:jc w:val="right"/>
    </w:pPr>
    <w:r>
      <w:fldChar w:fldCharType="begin"/>
    </w:r>
    <w:r w:rsidR="00EF6EDE">
      <w:instrText xml:space="preserve"> PAGE </w:instrText>
    </w:r>
    <w:r w:rsidR="007D08A9">
      <w:fldChar w:fldCharType="separate"/>
    </w:r>
    <w:r w:rsidR="007D08A9">
      <w:rPr>
        <w:noProof/>
      </w:rPr>
      <w:t>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97D" w:rsidRDefault="00EF6EDE">
    <w:pPr>
      <w:pStyle w:val="Stopka"/>
      <w:tabs>
        <w:tab w:val="clear" w:pos="9072"/>
        <w:tab w:val="right" w:pos="9044"/>
      </w:tabs>
      <w:jc w:val="center"/>
    </w:pPr>
    <w:r>
      <w:rPr>
        <w:i/>
        <w:iCs/>
      </w:rPr>
      <w:t>Explorations: A Journal of Language and Literature</w:t>
    </w:r>
    <w:r>
      <w:t xml:space="preserve"> Vol. 1 (2013), pp. 0-00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EDE" w:rsidRDefault="00EF6EDE" w:rsidP="0006297D">
      <w:r>
        <w:separator/>
      </w:r>
    </w:p>
  </w:footnote>
  <w:footnote w:type="continuationSeparator" w:id="0">
    <w:p w:rsidR="00EF6EDE" w:rsidRDefault="00EF6EDE" w:rsidP="000629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97D" w:rsidRDefault="0006297D">
    <w:pPr>
      <w:pStyle w:val="Nagwekistop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97D" w:rsidRDefault="0006297D">
    <w:pPr>
      <w:pStyle w:val="Nagwekistopk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284"/>
  <w:autoHyphenation/>
  <w:characterSpacingControl w:val="doNotCompress"/>
  <w:footnotePr>
    <w:footnote w:id="-1"/>
    <w:footnote w:id="0"/>
  </w:footnotePr>
  <w:endnotePr>
    <w:endnote w:id="-1"/>
    <w:endnote w:id="0"/>
  </w:endnotePr>
  <w:compat>
    <w:useFELayout/>
  </w:compat>
  <w:rsids>
    <w:rsidRoot w:val="0006297D"/>
    <w:rsid w:val="0006297D"/>
    <w:rsid w:val="007D08A9"/>
    <w:rsid w:val="00EF6E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6297D"/>
    <w:rPr>
      <w:rFonts w:cs="Arial Unicode MS"/>
      <w:color w:val="000000"/>
      <w:sz w:val="24"/>
      <w:szCs w:val="24"/>
      <w:u w:color="000000"/>
    </w:rPr>
  </w:style>
  <w:style w:type="paragraph" w:styleId="Nagwek1">
    <w:name w:val="heading 1"/>
    <w:next w:val="Normalny"/>
    <w:rsid w:val="0006297D"/>
    <w:pPr>
      <w:keepNex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line="480" w:lineRule="auto"/>
      <w:outlineLvl w:val="0"/>
    </w:pPr>
    <w:rPr>
      <w:rFonts w:eastAsia="Times New Roman"/>
      <w:b/>
      <w:bCs/>
      <w:color w:val="000000"/>
      <w:sz w:val="24"/>
      <w:szCs w:val="24"/>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6297D"/>
    <w:rPr>
      <w:u w:val="single"/>
    </w:rPr>
  </w:style>
  <w:style w:type="table" w:customStyle="1" w:styleId="TableNormal">
    <w:name w:val="Table Normal"/>
    <w:rsid w:val="0006297D"/>
    <w:tblPr>
      <w:tblInd w:w="0" w:type="dxa"/>
      <w:tblCellMar>
        <w:top w:w="0" w:type="dxa"/>
        <w:left w:w="0" w:type="dxa"/>
        <w:bottom w:w="0" w:type="dxa"/>
        <w:right w:w="0" w:type="dxa"/>
      </w:tblCellMar>
    </w:tblPr>
  </w:style>
  <w:style w:type="paragraph" w:customStyle="1" w:styleId="Nagwekistopka">
    <w:name w:val="Nagłówek i stopka"/>
    <w:rsid w:val="0006297D"/>
    <w:pPr>
      <w:tabs>
        <w:tab w:val="right" w:pos="9020"/>
      </w:tabs>
    </w:pPr>
    <w:rPr>
      <w:rFonts w:ascii="Helvetica Neue" w:hAnsi="Helvetica Neue" w:cs="Arial Unicode MS"/>
      <w:color w:val="000000"/>
      <w:sz w:val="24"/>
      <w:szCs w:val="24"/>
    </w:rPr>
  </w:style>
  <w:style w:type="paragraph" w:styleId="Stopka">
    <w:name w:val="footer"/>
    <w:rsid w:val="0006297D"/>
    <w:pPr>
      <w:tabs>
        <w:tab w:val="center" w:pos="4536"/>
        <w:tab w:val="right" w:pos="9072"/>
      </w:tabs>
    </w:pPr>
    <w:rPr>
      <w:rFonts w:cs="Arial Unicode MS"/>
      <w:color w:val="000000"/>
      <w:sz w:val="24"/>
      <w:szCs w:val="24"/>
      <w:u w:color="000000"/>
    </w:rPr>
  </w:style>
  <w:style w:type="paragraph" w:styleId="NormalnyWeb">
    <w:name w:val="Normal (Web)"/>
    <w:rsid w:val="0006297D"/>
    <w:pPr>
      <w:spacing w:before="100" w:after="100"/>
    </w:pPr>
    <w:rPr>
      <w:rFonts w:cs="Arial Unicode MS"/>
      <w:color w:val="000000"/>
      <w:sz w:val="24"/>
      <w:szCs w:val="24"/>
      <w:u w:color="000000"/>
    </w:rPr>
  </w:style>
  <w:style w:type="paragraph" w:customStyle="1" w:styleId="Default">
    <w:name w:val="Default"/>
    <w:rsid w:val="0006297D"/>
    <w:rPr>
      <w:rFonts w:ascii="Garamond" w:hAnsi="Garamond" w:cs="Arial Unicode MS"/>
      <w:color w:val="000000"/>
      <w:sz w:val="24"/>
      <w:szCs w:val="24"/>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990</Words>
  <Characters>5648</Characters>
  <Application>Microsoft Office Word</Application>
  <DocSecurity>0</DocSecurity>
  <Lines>47</Lines>
  <Paragraphs>13</Paragraphs>
  <ScaleCrop>false</ScaleCrop>
  <Company>Hewlett-Packard Company</Company>
  <LinksUpToDate>false</LinksUpToDate>
  <CharactersWithSpaces>6625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dc:creator>
  <cp:lastModifiedBy>PW</cp:lastModifiedBy>
  <cp:revision>2</cp:revision>
  <dcterms:created xsi:type="dcterms:W3CDTF">2019-11-28T09:16:00Z</dcterms:created>
  <dcterms:modified xsi:type="dcterms:W3CDTF">2019-11-28T09:16:00Z</dcterms:modified>
</cp:coreProperties>
</file>